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outlineLvl w:val="1"/>
        <w:rPr>
          <w:rFonts w:ascii="仿宋_GB2312" w:hAnsi="仿宋_GB2312" w:eastAsia="仿宋_GB2312" w:cs="仿宋_GB2312"/>
          <w:b/>
          <w:bCs/>
          <w:spacing w:val="4"/>
          <w:w w:val="99"/>
          <w:sz w:val="32"/>
          <w:szCs w:val="32"/>
        </w:rPr>
      </w:pPr>
      <w:r>
        <w:rPr>
          <w:rFonts w:hint="eastAsia" w:ascii="仿宋_GB2312" w:hAnsi="仿宋_GB2312" w:eastAsia="仿宋_GB2312" w:cs="仿宋_GB2312"/>
          <w:b/>
          <w:bCs/>
          <w:spacing w:val="4"/>
          <w:w w:val="99"/>
          <w:sz w:val="32"/>
          <w:szCs w:val="32"/>
        </w:rPr>
        <w:t>附件</w:t>
      </w:r>
    </w:p>
    <w:p>
      <w:pPr>
        <w:adjustRightInd w:val="0"/>
        <w:snapToGrid w:val="0"/>
        <w:spacing w:line="560" w:lineRule="exact"/>
        <w:outlineLvl w:val="1"/>
        <w:rPr>
          <w:rFonts w:ascii="黑体" w:hAnsi="黑体" w:eastAsia="黑体" w:cs="黑体"/>
          <w:b/>
          <w:bCs/>
          <w:spacing w:val="4"/>
          <w:w w:val="99"/>
          <w:sz w:val="52"/>
          <w:szCs w:val="52"/>
        </w:rPr>
      </w:pPr>
    </w:p>
    <w:p>
      <w:pPr>
        <w:adjustRightInd w:val="0"/>
        <w:snapToGrid w:val="0"/>
        <w:spacing w:line="560" w:lineRule="exact"/>
        <w:jc w:val="center"/>
        <w:outlineLvl w:val="1"/>
        <w:rPr>
          <w:rFonts w:ascii="仿宋_GB2312" w:hAnsi="仿宋_GB2312" w:eastAsia="仿宋_GB2312" w:cs="仿宋_GB2312"/>
          <w:b/>
          <w:bCs/>
          <w:spacing w:val="4"/>
          <w:w w:val="99"/>
          <w:sz w:val="32"/>
          <w:szCs w:val="32"/>
        </w:rPr>
      </w:pPr>
      <w:r>
        <w:rPr>
          <w:rFonts w:hint="eastAsia" w:ascii="黑体" w:hAnsi="黑体" w:eastAsia="黑体" w:cs="黑体"/>
          <w:b/>
          <w:bCs/>
          <w:spacing w:val="4"/>
          <w:w w:val="99"/>
          <w:sz w:val="52"/>
          <w:szCs w:val="52"/>
        </w:rPr>
        <w:t>服务内容及其要求</w:t>
      </w:r>
    </w:p>
    <w:p>
      <w:pPr>
        <w:adjustRightInd w:val="0"/>
        <w:snapToGrid w:val="0"/>
        <w:spacing w:line="560" w:lineRule="exact"/>
        <w:outlineLvl w:val="1"/>
        <w:rPr>
          <w:rFonts w:ascii="仿宋_GB2312" w:hAnsi="仿宋_GB2312" w:eastAsia="仿宋_GB2312" w:cs="仿宋_GB2312"/>
          <w:b/>
          <w:bCs/>
          <w:spacing w:val="4"/>
          <w:w w:val="99"/>
          <w:sz w:val="32"/>
          <w:szCs w:val="32"/>
        </w:rPr>
      </w:pPr>
    </w:p>
    <w:tbl>
      <w:tblPr>
        <w:tblStyle w:val="4"/>
        <w:tblW w:w="9532"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6" w:type="dxa"/>
          <w:left w:w="108" w:type="dxa"/>
          <w:bottom w:w="46" w:type="dxa"/>
          <w:right w:w="108" w:type="dxa"/>
        </w:tblCellMar>
      </w:tblPr>
      <w:tblGrid>
        <w:gridCol w:w="611"/>
        <w:gridCol w:w="1422"/>
        <w:gridCol w:w="749"/>
        <w:gridCol w:w="766"/>
        <w:gridCol w:w="5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trHeight w:val="576" w:hRule="atLeast"/>
        </w:trPr>
        <w:tc>
          <w:tcPr>
            <w:tcW w:w="6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szCs w:val="21"/>
              </w:rPr>
            </w:pPr>
            <w:r>
              <w:rPr>
                <w:rFonts w:hint="eastAsia" w:ascii="宋体" w:hAnsi="宋体"/>
                <w:b/>
                <w:bCs/>
              </w:rPr>
              <w:t>项号</w:t>
            </w:r>
          </w:p>
        </w:tc>
        <w:tc>
          <w:tcPr>
            <w:tcW w:w="14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szCs w:val="21"/>
              </w:rPr>
            </w:pPr>
            <w:r>
              <w:rPr>
                <w:rFonts w:hint="eastAsia" w:ascii="宋体" w:hAnsi="宋体"/>
                <w:b/>
                <w:bCs/>
              </w:rPr>
              <w:t>服务名称</w:t>
            </w:r>
          </w:p>
        </w:tc>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szCs w:val="21"/>
              </w:rPr>
            </w:pPr>
            <w:r>
              <w:rPr>
                <w:rFonts w:hint="eastAsia" w:ascii="宋体" w:hAnsi="宋体"/>
                <w:b/>
                <w:bCs/>
              </w:rPr>
              <w:t>数量</w:t>
            </w:r>
          </w:p>
        </w:tc>
        <w:tc>
          <w:tcPr>
            <w:tcW w:w="76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szCs w:val="21"/>
              </w:rPr>
            </w:pPr>
            <w:r>
              <w:rPr>
                <w:rFonts w:hint="eastAsia" w:ascii="宋体" w:hAnsi="宋体"/>
                <w:b/>
                <w:bCs/>
              </w:rPr>
              <w:t>单位</w:t>
            </w:r>
          </w:p>
        </w:tc>
        <w:tc>
          <w:tcPr>
            <w:tcW w:w="5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szCs w:val="21"/>
              </w:rPr>
            </w:pPr>
            <w:r>
              <w:rPr>
                <w:rFonts w:hint="eastAsia" w:ascii="宋体" w:hAnsi="宋体"/>
                <w:b/>
              </w:rPr>
              <w:t>内容和要求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c>
          <w:tcPr>
            <w:tcW w:w="61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rPr>
              <w:t>1</w:t>
            </w:r>
          </w:p>
        </w:tc>
        <w:tc>
          <w:tcPr>
            <w:tcW w:w="14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rPr>
              <w:t>网络安全等级保护测评服务</w:t>
            </w:r>
          </w:p>
        </w:tc>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ascii="宋体" w:hAnsi="宋体"/>
              </w:rPr>
              <w:t>5</w:t>
            </w:r>
          </w:p>
        </w:tc>
        <w:tc>
          <w:tcPr>
            <w:tcW w:w="76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Cs w:val="21"/>
              </w:rPr>
            </w:pPr>
            <w:r>
              <w:rPr>
                <w:rFonts w:hint="eastAsia" w:ascii="宋体" w:hAnsi="宋体"/>
              </w:rPr>
              <w:t>项</w:t>
            </w:r>
          </w:p>
        </w:tc>
        <w:tc>
          <w:tcPr>
            <w:tcW w:w="59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20" w:firstLineChars="200"/>
              <w:jc w:val="left"/>
              <w:rPr>
                <w:rFonts w:ascii="宋体" w:hAnsi="宋体"/>
              </w:rPr>
            </w:pPr>
            <w:r>
              <w:rPr>
                <w:rFonts w:hint="eastAsia" w:ascii="宋体" w:hAnsi="宋体"/>
              </w:rPr>
              <w:t>1．项目简介</w:t>
            </w:r>
          </w:p>
          <w:p>
            <w:pPr>
              <w:widowControl/>
              <w:spacing w:line="400" w:lineRule="exact"/>
              <w:ind w:firstLine="420" w:firstLineChars="200"/>
              <w:jc w:val="left"/>
              <w:rPr>
                <w:rFonts w:ascii="宋体" w:hAnsi="宋体"/>
              </w:rPr>
            </w:pPr>
            <w:r>
              <w:rPr>
                <w:rFonts w:hint="eastAsia" w:ascii="宋体" w:hAnsi="宋体"/>
                <w:color w:val="FF0000"/>
              </w:rPr>
              <w:t>广西林产工业互联网平台企业服务平台及国储林大数据平台</w:t>
            </w:r>
            <w:r>
              <w:rPr>
                <w:rFonts w:hint="eastAsia" w:ascii="宋体" w:hAnsi="宋体"/>
              </w:rPr>
              <w:t>根据国家网络安全等级保护的相关要求，需要进行等级保护测评及等级保护咨询工作。</w:t>
            </w:r>
          </w:p>
          <w:p>
            <w:pPr>
              <w:widowControl/>
              <w:spacing w:line="400" w:lineRule="exact"/>
              <w:ind w:firstLine="420" w:firstLineChars="200"/>
              <w:jc w:val="left"/>
              <w:rPr>
                <w:rFonts w:ascii="宋体" w:hAnsi="宋体"/>
              </w:rPr>
            </w:pPr>
            <w:r>
              <w:rPr>
                <w:rFonts w:hint="eastAsia" w:ascii="宋体" w:hAnsi="宋体"/>
              </w:rPr>
              <w:t>项目地址：</w:t>
            </w:r>
          </w:p>
          <w:p>
            <w:pPr>
              <w:widowControl/>
              <w:numPr>
                <w:ilvl w:val="0"/>
                <w:numId w:val="1"/>
              </w:numPr>
              <w:spacing w:line="400" w:lineRule="exact"/>
              <w:ind w:firstLine="420" w:firstLineChars="200"/>
              <w:jc w:val="left"/>
              <w:rPr>
                <w:rFonts w:ascii="宋体" w:hAnsi="宋体"/>
                <w:color w:val="FF0000"/>
              </w:rPr>
            </w:pPr>
            <w:r>
              <w:rPr>
                <w:rFonts w:hint="eastAsia" w:ascii="宋体" w:hAnsi="宋体"/>
                <w:color w:val="FF0000"/>
              </w:rPr>
              <w:t>企业服务平台：</w:t>
            </w:r>
            <w:r>
              <w:fldChar w:fldCharType="begin"/>
            </w:r>
            <w:r>
              <w:instrText xml:space="preserve"> HYPERLINK "https://iiot.glfpii.com/market-web/#/contentApp" </w:instrText>
            </w:r>
            <w:r>
              <w:fldChar w:fldCharType="separate"/>
            </w:r>
            <w:r>
              <w:rPr>
                <w:rStyle w:val="6"/>
                <w:rFonts w:hint="eastAsia" w:ascii="宋体" w:hAnsi="宋体"/>
                <w:color w:val="FF0000"/>
              </w:rPr>
              <w:t>https://iiot.glfpii.com/market-web/#/contentApp</w:t>
            </w:r>
            <w:r>
              <w:rPr>
                <w:rStyle w:val="6"/>
                <w:rFonts w:hint="eastAsia" w:ascii="宋体" w:hAnsi="宋体"/>
                <w:color w:val="FF0000"/>
              </w:rPr>
              <w:fldChar w:fldCharType="end"/>
            </w:r>
          </w:p>
          <w:p>
            <w:pPr>
              <w:widowControl/>
              <w:numPr>
                <w:ilvl w:val="0"/>
                <w:numId w:val="1"/>
              </w:numPr>
              <w:spacing w:line="400" w:lineRule="exact"/>
              <w:ind w:firstLine="420" w:firstLineChars="200"/>
              <w:jc w:val="left"/>
              <w:rPr>
                <w:rFonts w:ascii="宋体" w:hAnsi="宋体"/>
                <w:color w:val="FF0000"/>
              </w:rPr>
            </w:pPr>
            <w:r>
              <w:rPr>
                <w:rFonts w:hint="eastAsia" w:ascii="宋体" w:hAnsi="宋体"/>
                <w:color w:val="FF0000"/>
                <w:lang w:val="en-US" w:eastAsia="zh-CN"/>
              </w:rPr>
              <w:t>国储林大数据平台：搭建在林业集团内网，地址：http://10.1.3.23/gxptgl/</w:t>
            </w:r>
          </w:p>
          <w:p>
            <w:pPr>
              <w:widowControl/>
              <w:spacing w:line="400" w:lineRule="exact"/>
              <w:ind w:firstLine="420" w:firstLineChars="200"/>
              <w:jc w:val="left"/>
              <w:rPr>
                <w:rFonts w:ascii="宋体" w:hAnsi="宋体"/>
              </w:rPr>
            </w:pPr>
            <w:r>
              <w:rPr>
                <w:rFonts w:hint="eastAsia" w:ascii="宋体" w:hAnsi="宋体"/>
              </w:rPr>
              <w:t>2. ▲供应商要求：</w:t>
            </w:r>
          </w:p>
          <w:p>
            <w:pPr>
              <w:widowControl/>
              <w:spacing w:line="400" w:lineRule="exact"/>
              <w:ind w:firstLine="420" w:firstLineChars="200"/>
              <w:jc w:val="left"/>
              <w:rPr>
                <w:rFonts w:ascii="宋体" w:hAnsi="宋体"/>
              </w:rPr>
            </w:pPr>
            <w:r>
              <w:rPr>
                <w:rFonts w:hint="eastAsia" w:ascii="宋体" w:hAnsi="宋体"/>
              </w:rPr>
              <w:t>供应商必须具备公安部第三研究所颁发《网络安全等级测评与评估机构服务认证证书》。（</w:t>
            </w:r>
            <w:r>
              <w:rPr>
                <w:rFonts w:hint="eastAsia" w:ascii="宋体" w:hAnsi="宋体"/>
                <w:b/>
                <w:bCs/>
              </w:rPr>
              <w:t>不允许联合体投标</w:t>
            </w:r>
            <w:r>
              <w:rPr>
                <w:rFonts w:hint="eastAsia" w:ascii="宋体" w:hAnsi="宋体"/>
              </w:rPr>
              <w:t>）</w:t>
            </w:r>
          </w:p>
          <w:p>
            <w:pPr>
              <w:widowControl/>
              <w:spacing w:line="400" w:lineRule="exact"/>
              <w:ind w:firstLine="420" w:firstLineChars="200"/>
              <w:jc w:val="left"/>
              <w:rPr>
                <w:rFonts w:ascii="宋体" w:hAnsi="宋体"/>
                <w:szCs w:val="21"/>
              </w:rPr>
            </w:pPr>
            <w:r>
              <w:rPr>
                <w:rFonts w:ascii="宋体" w:hAnsi="宋体"/>
              </w:rPr>
              <w:t>3</w:t>
            </w:r>
            <w:r>
              <w:rPr>
                <w:rFonts w:hint="eastAsia" w:ascii="宋体" w:hAnsi="宋体"/>
              </w:rPr>
              <w:t>.</w:t>
            </w:r>
            <w:r>
              <w:rPr>
                <w:rFonts w:hint="eastAsia" w:ascii="宋体" w:hAnsi="宋体"/>
                <w:b/>
              </w:rPr>
              <w:t>▲</w:t>
            </w:r>
            <w:r>
              <w:rPr>
                <w:rFonts w:hint="eastAsia" w:ascii="宋体" w:hAnsi="宋体"/>
              </w:rPr>
              <w:t>服务依据。</w:t>
            </w:r>
          </w:p>
          <w:p>
            <w:pPr>
              <w:widowControl/>
              <w:spacing w:line="400" w:lineRule="exact"/>
              <w:ind w:firstLine="420" w:firstLineChars="200"/>
              <w:jc w:val="left"/>
              <w:rPr>
                <w:rFonts w:ascii="宋体" w:hAnsi="宋体"/>
              </w:rPr>
            </w:pPr>
            <w:r>
              <w:rPr>
                <w:rFonts w:hint="eastAsia" w:ascii="宋体" w:hAnsi="宋体"/>
              </w:rPr>
              <w:t>《计算机信息系统安全保护等级划分准则》（</w:t>
            </w:r>
            <w:r>
              <w:rPr>
                <w:rFonts w:ascii="宋体" w:hAnsi="宋体"/>
              </w:rPr>
              <w:t>GB 17859-1999)</w:t>
            </w:r>
          </w:p>
          <w:p>
            <w:pPr>
              <w:widowControl/>
              <w:spacing w:line="400" w:lineRule="exact"/>
              <w:ind w:firstLine="420" w:firstLineChars="200"/>
              <w:jc w:val="left"/>
              <w:rPr>
                <w:rFonts w:ascii="宋体" w:hAnsi="宋体"/>
              </w:rPr>
            </w:pPr>
            <w:r>
              <w:rPr>
                <w:rFonts w:hint="eastAsia" w:ascii="宋体" w:hAnsi="宋体"/>
              </w:rPr>
              <w:t>《信息安全等级保护管理办法》（公通字</w:t>
            </w:r>
            <w:r>
              <w:rPr>
                <w:rFonts w:ascii="宋体" w:hAnsi="宋体"/>
              </w:rPr>
              <w:t>[2007]43</w:t>
            </w:r>
            <w:r>
              <w:rPr>
                <w:rFonts w:hint="eastAsia" w:ascii="宋体" w:hAnsi="宋体"/>
              </w:rPr>
              <w:t>号）</w:t>
            </w:r>
          </w:p>
          <w:p>
            <w:pPr>
              <w:widowControl/>
              <w:spacing w:line="400" w:lineRule="exact"/>
              <w:ind w:firstLine="420" w:firstLineChars="200"/>
              <w:jc w:val="left"/>
              <w:rPr>
                <w:rFonts w:ascii="宋体" w:hAnsi="宋体"/>
              </w:rPr>
            </w:pPr>
            <w:r>
              <w:rPr>
                <w:rFonts w:hint="eastAsia" w:ascii="宋体" w:hAnsi="宋体"/>
              </w:rPr>
              <w:t>《信息安全技术网络安全等级保护定级指南》（</w:t>
            </w:r>
            <w:r>
              <w:rPr>
                <w:rFonts w:ascii="宋体" w:hAnsi="宋体"/>
              </w:rPr>
              <w:t>GB/T 22240-2020</w:t>
            </w:r>
            <w:r>
              <w:rPr>
                <w:rFonts w:hint="eastAsia" w:ascii="宋体" w:hAnsi="宋体"/>
              </w:rPr>
              <w:t>）</w:t>
            </w:r>
          </w:p>
          <w:p>
            <w:pPr>
              <w:widowControl/>
              <w:spacing w:line="400" w:lineRule="exact"/>
              <w:ind w:firstLine="420" w:firstLineChars="200"/>
              <w:jc w:val="left"/>
              <w:rPr>
                <w:rFonts w:ascii="宋体" w:hAnsi="宋体"/>
              </w:rPr>
            </w:pPr>
            <w:r>
              <w:rPr>
                <w:rFonts w:hint="eastAsia" w:ascii="宋体" w:hAnsi="宋体"/>
              </w:rPr>
              <w:t>《网络安全等级保护基本要求》（</w:t>
            </w:r>
            <w:r>
              <w:rPr>
                <w:rFonts w:ascii="宋体" w:hAnsi="宋体"/>
              </w:rPr>
              <w:t>GB/T 22239-2019</w:t>
            </w:r>
            <w:r>
              <w:rPr>
                <w:rFonts w:hint="eastAsia" w:ascii="宋体" w:hAnsi="宋体"/>
              </w:rPr>
              <w:t>）</w:t>
            </w:r>
          </w:p>
          <w:p>
            <w:pPr>
              <w:widowControl/>
              <w:spacing w:line="400" w:lineRule="exact"/>
              <w:ind w:firstLine="420" w:firstLineChars="200"/>
              <w:jc w:val="left"/>
              <w:rPr>
                <w:rFonts w:ascii="宋体" w:hAnsi="宋体"/>
              </w:rPr>
            </w:pPr>
            <w:r>
              <w:rPr>
                <w:rFonts w:hint="eastAsia" w:ascii="宋体" w:hAnsi="宋体"/>
              </w:rPr>
              <w:t>《网络安全等级保护测评要求》（</w:t>
            </w:r>
            <w:r>
              <w:rPr>
                <w:rFonts w:ascii="宋体" w:hAnsi="宋体"/>
              </w:rPr>
              <w:t>GB/T 28448-2019</w:t>
            </w:r>
            <w:r>
              <w:rPr>
                <w:rFonts w:hint="eastAsia" w:ascii="宋体" w:hAnsi="宋体"/>
              </w:rPr>
              <w:t>）</w:t>
            </w:r>
          </w:p>
          <w:p>
            <w:pPr>
              <w:widowControl/>
              <w:spacing w:line="400" w:lineRule="exact"/>
              <w:jc w:val="left"/>
              <w:rPr>
                <w:rFonts w:ascii="宋体" w:hAnsi="宋体"/>
              </w:rPr>
            </w:pPr>
            <w:r>
              <w:rPr>
                <w:rFonts w:ascii="宋体" w:hAnsi="宋体"/>
              </w:rPr>
              <w:tab/>
            </w:r>
            <w:r>
              <w:rPr>
                <w:rFonts w:hint="eastAsia" w:ascii="宋体" w:hAnsi="宋体"/>
              </w:rPr>
              <w:t>《网络安全等级保护测评过程指南》（</w:t>
            </w:r>
            <w:r>
              <w:rPr>
                <w:rFonts w:ascii="宋体" w:hAnsi="宋体"/>
              </w:rPr>
              <w:t>GB/T 28449-2018)</w:t>
            </w:r>
          </w:p>
          <w:p>
            <w:pPr>
              <w:widowControl/>
              <w:spacing w:line="400" w:lineRule="exact"/>
              <w:ind w:firstLine="420" w:firstLineChars="200"/>
              <w:jc w:val="left"/>
              <w:rPr>
                <w:rFonts w:ascii="宋体" w:hAnsi="宋体"/>
              </w:rPr>
            </w:pPr>
            <w:r>
              <w:rPr>
                <w:rFonts w:hint="eastAsia" w:ascii="宋体" w:hAnsi="宋体"/>
              </w:rPr>
              <w:t>《网络安全等级保护设计技术要求》（</w:t>
            </w:r>
            <w:r>
              <w:rPr>
                <w:rFonts w:ascii="宋体" w:hAnsi="宋体"/>
              </w:rPr>
              <w:t>GB/T 25070-2019</w:t>
            </w:r>
            <w:r>
              <w:rPr>
                <w:rFonts w:hint="eastAsia" w:ascii="宋体" w:hAnsi="宋体"/>
              </w:rPr>
              <w:t>）</w:t>
            </w:r>
          </w:p>
          <w:p>
            <w:pPr>
              <w:widowControl/>
              <w:spacing w:line="400" w:lineRule="exact"/>
              <w:ind w:firstLine="420" w:firstLineChars="200"/>
              <w:jc w:val="left"/>
              <w:rPr>
                <w:rFonts w:ascii="宋体" w:hAnsi="宋体"/>
              </w:rPr>
            </w:pPr>
            <w:r>
              <w:rPr>
                <w:rFonts w:hint="eastAsia" w:ascii="宋体" w:hAnsi="宋体"/>
              </w:rPr>
              <w:t>《网络安全等级保护测试评估技术指南》（</w:t>
            </w:r>
            <w:r>
              <w:rPr>
                <w:rFonts w:ascii="宋体" w:hAnsi="宋体"/>
              </w:rPr>
              <w:t>GB/T 36627-2018</w:t>
            </w:r>
            <w:r>
              <w:rPr>
                <w:rFonts w:hint="eastAsia" w:ascii="宋体" w:hAnsi="宋体"/>
              </w:rPr>
              <w:t>）</w:t>
            </w:r>
          </w:p>
          <w:p>
            <w:pPr>
              <w:widowControl/>
              <w:spacing w:line="400" w:lineRule="exact"/>
              <w:ind w:firstLine="420" w:firstLineChars="200"/>
              <w:jc w:val="left"/>
              <w:rPr>
                <w:rFonts w:ascii="宋体" w:hAnsi="宋体"/>
              </w:rPr>
            </w:pPr>
            <w:r>
              <w:rPr>
                <w:rFonts w:hint="eastAsia" w:ascii="宋体" w:hAnsi="宋体"/>
              </w:rPr>
              <w:t>《信息安全技术信息系统安全等级保护实施指南》</w:t>
            </w:r>
            <w:r>
              <w:rPr>
                <w:rFonts w:ascii="宋体" w:hAnsi="宋体"/>
              </w:rPr>
              <w:t>(GB/T 25058-201</w:t>
            </w:r>
            <w:r>
              <w:rPr>
                <w:rFonts w:hint="eastAsia" w:ascii="宋体" w:hAnsi="宋体"/>
              </w:rPr>
              <w:t>9</w:t>
            </w:r>
            <w:r>
              <w:rPr>
                <w:rFonts w:ascii="宋体" w:hAnsi="宋体"/>
              </w:rPr>
              <w:t>)</w:t>
            </w:r>
          </w:p>
          <w:p>
            <w:pPr>
              <w:widowControl/>
              <w:spacing w:line="400" w:lineRule="exact"/>
              <w:ind w:firstLine="420" w:firstLineChars="200"/>
              <w:jc w:val="left"/>
              <w:rPr>
                <w:rFonts w:ascii="宋体" w:hAnsi="宋体"/>
              </w:rPr>
            </w:pPr>
          </w:p>
          <w:p>
            <w:pPr>
              <w:widowControl/>
              <w:spacing w:line="400" w:lineRule="exact"/>
              <w:ind w:firstLine="420" w:firstLineChars="200"/>
              <w:jc w:val="left"/>
              <w:rPr>
                <w:rFonts w:ascii="宋体" w:hAnsi="宋体"/>
              </w:rPr>
            </w:pPr>
            <w:r>
              <w:rPr>
                <w:rFonts w:ascii="宋体" w:hAnsi="宋体"/>
              </w:rPr>
              <w:t>4</w:t>
            </w:r>
            <w:r>
              <w:rPr>
                <w:rFonts w:hint="eastAsia" w:ascii="宋体" w:hAnsi="宋体"/>
              </w:rPr>
              <w:t>.▲服务范围。</w:t>
            </w:r>
          </w:p>
          <w:p>
            <w:pPr>
              <w:widowControl/>
              <w:spacing w:line="400" w:lineRule="exact"/>
              <w:ind w:firstLine="420" w:firstLineChars="200"/>
              <w:jc w:val="left"/>
              <w:rPr>
                <w:rFonts w:ascii="宋体" w:hAnsi="宋体"/>
              </w:rPr>
            </w:pPr>
            <w:r>
              <w:rPr>
                <w:rFonts w:hint="eastAsia" w:ascii="宋体" w:hAnsi="宋体"/>
              </w:rPr>
              <w:t>针对应用系统，按等保2.0要求开展网络安全等级保护测评工作。</w:t>
            </w:r>
          </w:p>
          <w:p>
            <w:pPr>
              <w:widowControl/>
              <w:spacing w:line="400" w:lineRule="exact"/>
              <w:ind w:firstLine="420" w:firstLineChars="200"/>
              <w:jc w:val="left"/>
              <w:rPr>
                <w:rFonts w:ascii="宋体" w:hAnsi="宋体"/>
              </w:rPr>
            </w:pPr>
            <w:r>
              <w:rPr>
                <w:rFonts w:ascii="宋体" w:hAnsi="宋体"/>
              </w:rPr>
              <w:t>5</w:t>
            </w:r>
            <w:r>
              <w:rPr>
                <w:rFonts w:hint="eastAsia" w:ascii="宋体" w:hAnsi="宋体"/>
              </w:rPr>
              <w:t>.安全要求。</w:t>
            </w:r>
          </w:p>
          <w:p>
            <w:pPr>
              <w:widowControl/>
              <w:spacing w:line="400" w:lineRule="exact"/>
              <w:ind w:firstLine="420" w:firstLineChars="200"/>
              <w:jc w:val="left"/>
              <w:rPr>
                <w:rFonts w:ascii="宋体" w:hAnsi="宋体"/>
                <w:kern w:val="0"/>
              </w:rPr>
            </w:pPr>
            <w:r>
              <w:rPr>
                <w:rFonts w:hint="eastAsia" w:ascii="宋体" w:hAnsi="宋体"/>
              </w:rPr>
              <w:t>中标人提供的测评服务应符合国家等级保护和国家相关法律，指出防范的方针和保护的原则；测评方案的设计与实施应依据国内、国际最新的相关标准进行；中标人工作中的过程和文档，具有很好的规范性，可以便于项目的跟踪和控制；测评的方法和过程要在双方认可的范围之内，安全咨询的进度要按照进度表进度的安排，保证采购人对于服务工作的可控性；安全体系设计的范围和内容应当整体全面，包括安全涉及的各个层面，避免由于遗漏造成未来的安全隐患；测评工作应尽可能小的影响系统和网络的正常运行，不能对采购人各系统的运行和业务的正常提供产生实质性影响；对测评过程中获得的采购人数据和结果数据严格保密，未经授权不得泄露给任何单位和个人，不得利用此数据进行任何侵害采购人利益的行为。</w:t>
            </w:r>
          </w:p>
          <w:p>
            <w:pPr>
              <w:widowControl/>
              <w:spacing w:line="400" w:lineRule="exact"/>
              <w:ind w:firstLine="420" w:firstLineChars="200"/>
              <w:jc w:val="left"/>
              <w:rPr>
                <w:rFonts w:ascii="宋体" w:hAnsi="宋体"/>
              </w:rPr>
            </w:pPr>
            <w:r>
              <w:rPr>
                <w:rFonts w:ascii="宋体" w:hAnsi="宋体"/>
              </w:rPr>
              <w:t>6</w:t>
            </w:r>
            <w:r>
              <w:rPr>
                <w:rFonts w:hint="eastAsia" w:ascii="宋体" w:hAnsi="宋体"/>
              </w:rPr>
              <w:t>.测评内容要求。</w:t>
            </w:r>
          </w:p>
          <w:p>
            <w:pPr>
              <w:widowControl/>
              <w:spacing w:line="400" w:lineRule="exact"/>
              <w:ind w:firstLine="420" w:firstLineChars="200"/>
              <w:jc w:val="left"/>
              <w:rPr>
                <w:rFonts w:ascii="宋体" w:hAnsi="宋体"/>
              </w:rPr>
            </w:pPr>
            <w:r>
              <w:rPr>
                <w:rFonts w:hint="eastAsia" w:ascii="宋体" w:hAnsi="宋体"/>
              </w:rPr>
              <w:t>测评内容应包括安全技术和安全管理两大类，其中技术类应包括对安全物理环境、安全通信网络、安全区域边界、安全计算环境、安全管理中心五个方面的测评，安全管理类测评应包括对安全管理制度、安全管理机构、安全管理人员、安全建设管理、安全运维管理五个方面的测评。如应用系统涉及安全扩展要求的应选取相关标准进行测评。</w:t>
            </w:r>
          </w:p>
          <w:p>
            <w:pPr>
              <w:widowControl/>
              <w:spacing w:line="400" w:lineRule="exact"/>
              <w:ind w:firstLine="420" w:firstLineChars="200"/>
              <w:rPr>
                <w:rFonts w:ascii="宋体" w:hAnsi="宋体"/>
              </w:rPr>
            </w:pPr>
            <w:r>
              <w:rPr>
                <w:rFonts w:ascii="宋体" w:hAnsi="宋体"/>
              </w:rPr>
              <w:t>7</w:t>
            </w:r>
            <w:r>
              <w:rPr>
                <w:rFonts w:hint="eastAsia" w:ascii="宋体" w:hAnsi="宋体"/>
              </w:rPr>
              <w:t>.测评方法。</w:t>
            </w:r>
          </w:p>
          <w:p>
            <w:pPr>
              <w:widowControl/>
              <w:spacing w:line="400" w:lineRule="exact"/>
              <w:ind w:firstLine="420" w:firstLineChars="200"/>
              <w:rPr>
                <w:rFonts w:ascii="宋体" w:hAnsi="宋体"/>
              </w:rPr>
            </w:pPr>
            <w:r>
              <w:rPr>
                <w:rFonts w:hint="eastAsia" w:ascii="宋体" w:hAnsi="宋体"/>
              </w:rPr>
              <w:t>在测评实施过程中，应采用访谈、检查和测试、渗透测试、工具扫描等</w:t>
            </w:r>
            <w:r>
              <w:rPr>
                <w:rFonts w:hint="eastAsia" w:ascii="宋体" w:hAnsi="宋体"/>
                <w:kern w:val="0"/>
              </w:rPr>
              <w:t>国际国内认可的先进方法和手段进行，并与国家相关规范及标准的要求相符。测评中必须采用专业的国内安全扫描设备及软件产品辅助测评工作的完成</w:t>
            </w:r>
            <w:r>
              <w:rPr>
                <w:rFonts w:hint="eastAsia" w:ascii="宋体" w:hAnsi="宋体"/>
              </w:rPr>
              <w:t xml:space="preserve">，并与国家相关规范及标准的要求相符。 </w:t>
            </w:r>
          </w:p>
          <w:p>
            <w:pPr>
              <w:widowControl/>
              <w:spacing w:line="400" w:lineRule="exact"/>
              <w:ind w:firstLine="420" w:firstLineChars="200"/>
              <w:rPr>
                <w:rFonts w:ascii="宋体" w:hAnsi="宋体"/>
              </w:rPr>
            </w:pPr>
            <w:r>
              <w:rPr>
                <w:rFonts w:ascii="宋体" w:hAnsi="宋体"/>
              </w:rPr>
              <w:t>8</w:t>
            </w:r>
            <w:r>
              <w:rPr>
                <w:rFonts w:hint="eastAsia" w:ascii="宋体" w:hAnsi="宋体"/>
              </w:rPr>
              <w:t>.</w:t>
            </w:r>
            <w:r>
              <w:rPr>
                <w:rFonts w:hint="eastAsia" w:ascii="宋体" w:hAnsi="宋体"/>
                <w:b/>
              </w:rPr>
              <w:t>▲</w:t>
            </w:r>
            <w:r>
              <w:rPr>
                <w:rFonts w:hint="eastAsia" w:ascii="宋体" w:hAnsi="宋体"/>
              </w:rPr>
              <w:t>服务成果。</w:t>
            </w:r>
          </w:p>
          <w:p>
            <w:pPr>
              <w:spacing w:line="400" w:lineRule="exact"/>
              <w:ind w:firstLine="420" w:firstLineChars="200"/>
              <w:rPr>
                <w:rFonts w:ascii="宋体" w:hAnsi="宋体"/>
              </w:rPr>
            </w:pPr>
            <w:r>
              <w:rPr>
                <w:rFonts w:hint="eastAsia" w:ascii="宋体" w:hAnsi="宋体"/>
              </w:rPr>
              <w:t>测评完成后，出具符合等保2.0相关技术标准要求、国家网络安全等级保护管理部门规范要求,且公安机关认可的的网络安全等级保护测评报告；协助采购人完善网络安全等级保护工作。</w:t>
            </w:r>
          </w:p>
          <w:p>
            <w:pPr>
              <w:numPr>
                <w:ilvl w:val="0"/>
                <w:numId w:val="2"/>
              </w:numPr>
              <w:spacing w:line="400" w:lineRule="exact"/>
              <w:ind w:firstLine="422" w:firstLineChars="200"/>
              <w:rPr>
                <w:rFonts w:ascii="宋体" w:hAnsi="宋体"/>
              </w:rPr>
            </w:pPr>
            <w:r>
              <w:rPr>
                <w:rFonts w:hint="eastAsia" w:ascii="宋体" w:hAnsi="宋体"/>
                <w:b/>
              </w:rPr>
              <w:t>▲</w:t>
            </w:r>
            <w:r>
              <w:rPr>
                <w:rFonts w:hint="eastAsia" w:ascii="宋体" w:hAnsi="宋体"/>
              </w:rPr>
              <w:t>服务内容。</w:t>
            </w:r>
          </w:p>
          <w:p>
            <w:pPr>
              <w:numPr>
                <w:ilvl w:val="0"/>
                <w:numId w:val="3"/>
              </w:numPr>
              <w:spacing w:line="400" w:lineRule="exact"/>
              <w:rPr>
                <w:rFonts w:ascii="宋体" w:hAnsi="宋体"/>
              </w:rPr>
            </w:pPr>
            <w:r>
              <w:rPr>
                <w:rFonts w:hint="eastAsia" w:ascii="宋体" w:hAnsi="宋体"/>
              </w:rPr>
              <w:t>等保测评服务。以国家网络安全等级保护相关标准规范及行业相关标准规范为依据，对目标系统进行安全物理环境、安全通信网络、安全区域边界、安全计算环境、安全管理中心、安全管理制度、安全管理机构、安全管理人员、安全建设管理、安全运维管理等十个层面实施测评。测评完成后，采用最新等级保护测评报告模板输出测评报告</w:t>
            </w:r>
          </w:p>
          <w:p>
            <w:pPr>
              <w:numPr>
                <w:ilvl w:val="0"/>
                <w:numId w:val="3"/>
              </w:numPr>
              <w:spacing w:line="400" w:lineRule="exact"/>
              <w:rPr>
                <w:rFonts w:ascii="宋体" w:hAnsi="宋体"/>
              </w:rPr>
            </w:pPr>
            <w:r>
              <w:rPr>
                <w:rFonts w:hint="eastAsia" w:ascii="宋体" w:hAnsi="宋体"/>
              </w:rPr>
              <w:t>定级备案服务。准备企业服务平台、</w:t>
            </w:r>
            <w:r>
              <w:rPr>
                <w:rFonts w:hint="eastAsia" w:ascii="宋体" w:hAnsi="宋体"/>
                <w:lang w:val="en-US" w:eastAsia="zh-CN"/>
              </w:rPr>
              <w:t>国储林大数据平台</w:t>
            </w:r>
            <w:r>
              <w:rPr>
                <w:rFonts w:hint="eastAsia" w:ascii="宋体" w:hAnsi="宋体"/>
              </w:rPr>
              <w:t>的定级报告和备案申请表，以及召开专家评审会。</w:t>
            </w:r>
          </w:p>
          <w:p>
            <w:pPr>
              <w:numPr>
                <w:ilvl w:val="0"/>
                <w:numId w:val="3"/>
              </w:numPr>
              <w:spacing w:line="400" w:lineRule="exact"/>
              <w:rPr>
                <w:rFonts w:ascii="宋体" w:hAnsi="宋体"/>
              </w:rPr>
            </w:pPr>
            <w:r>
              <w:rPr>
                <w:rFonts w:hint="eastAsia" w:ascii="宋体" w:hAnsi="宋体"/>
              </w:rPr>
              <w:t>整改咨询服务。</w:t>
            </w:r>
            <w:r>
              <w:rPr>
                <w:rFonts w:ascii="宋体" w:hAnsi="宋体"/>
              </w:rPr>
              <w:t>根据企业服务平台、</w:t>
            </w:r>
            <w:r>
              <w:rPr>
                <w:rFonts w:hint="eastAsia" w:ascii="宋体" w:hAnsi="宋体"/>
                <w:lang w:val="en-US" w:eastAsia="zh-CN"/>
              </w:rPr>
              <w:t>国储林大数据平台</w:t>
            </w:r>
            <w:r>
              <w:rPr>
                <w:rFonts w:ascii="宋体" w:hAnsi="宋体"/>
              </w:rPr>
              <w:t>的初测结果，辅导业主整改，达到等保测评的相关要求，进行复测评</w:t>
            </w:r>
            <w:r>
              <w:rPr>
                <w:rFonts w:hint="eastAsia" w:ascii="宋体" w:hAnsi="宋体"/>
              </w:rPr>
              <w:t>。</w:t>
            </w:r>
          </w:p>
        </w:tc>
      </w:tr>
    </w:tbl>
    <w:p>
      <w:pPr>
        <w:pStyle w:val="3"/>
        <w:widowControl/>
        <w:numPr>
          <w:ilvl w:val="0"/>
          <w:numId w:val="0"/>
        </w:numPr>
        <w:shd w:val="clear" w:color="auto" w:fill="FFFFFF"/>
        <w:spacing w:line="560" w:lineRule="exact"/>
        <w:textAlignment w:val="baseline"/>
        <w:rPr>
          <w:rFonts w:ascii="仿宋_GB2312" w:hAnsi="仿宋_GB2312" w:eastAsia="仿宋_GB2312" w:cs="仿宋_GB2312"/>
          <w:sz w:val="32"/>
          <w:szCs w:val="32"/>
        </w:rPr>
      </w:pPr>
    </w:p>
    <w:p>
      <w:bookmarkStart w:id="0" w:name="_GoBack"/>
      <w:bookmarkEnd w:id="0"/>
    </w:p>
    <w:sectPr>
      <w:footerReference r:id="rId3" w:type="default"/>
      <w:footerReference r:id="rId4" w:type="even"/>
      <w:pgSz w:w="11906" w:h="16838"/>
      <w:pgMar w:top="2098" w:right="1474" w:bottom="1985" w:left="1588" w:header="1418" w:footer="1418"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450145"/>
    </w:sdtPr>
    <w:sdtEndPr>
      <w:rPr>
        <w:rFonts w:hint="eastAsia" w:asciiTheme="minorEastAsia" w:hAnsiTheme="minorEastAsia"/>
        <w:sz w:val="24"/>
        <w:szCs w:val="24"/>
      </w:rPr>
    </w:sdtEndPr>
    <w:sdtContent>
      <w:p>
        <w:pPr>
          <w:pStyle w:val="2"/>
          <w:jc w:val="right"/>
          <w:rPr>
            <w:rFonts w:asciiTheme="minorEastAsia" w:hAnsiTheme="minorEastAsia"/>
            <w:sz w:val="24"/>
            <w:szCs w:val="24"/>
          </w:rPr>
        </w:pPr>
        <w:r>
          <w:rPr>
            <w:rFonts w:hint="eastAsia" w:asciiTheme="minorEastAsia" w:hAnsiTheme="minorEastAsia"/>
            <w:sz w:val="24"/>
            <w:szCs w:val="24"/>
          </w:rPr>
          <w:fldChar w:fldCharType="begin"/>
        </w:r>
        <w:r>
          <w:rPr>
            <w:rFonts w:hint="eastAsia" w:asciiTheme="minorEastAsia" w:hAnsiTheme="minorEastAsia"/>
            <w:sz w:val="24"/>
            <w:szCs w:val="24"/>
          </w:rPr>
          <w:instrText xml:space="preserve">PAGE   \* MERGEFORMAT</w:instrText>
        </w:r>
        <w:r>
          <w:rPr>
            <w:rFonts w:hint="eastAsia" w:asciiTheme="minorEastAsia" w:hAnsiTheme="minorEastAsia"/>
            <w:sz w:val="24"/>
            <w:szCs w:val="24"/>
          </w:rPr>
          <w:fldChar w:fldCharType="separate"/>
        </w:r>
        <w:r>
          <w:rPr>
            <w:rFonts w:asciiTheme="minorEastAsia" w:hAnsiTheme="minorEastAsia"/>
            <w:sz w:val="24"/>
            <w:szCs w:val="24"/>
            <w:lang w:val="zh-CN"/>
          </w:rPr>
          <w:t>-</w:t>
        </w:r>
        <w:r>
          <w:rPr>
            <w:rFonts w:asciiTheme="minorEastAsia" w:hAnsiTheme="minorEastAsia"/>
            <w:sz w:val="24"/>
            <w:szCs w:val="24"/>
          </w:rPr>
          <w:t xml:space="preserve"> 1 -</w:t>
        </w:r>
        <w:r>
          <w:rPr>
            <w:rFonts w:hint="eastAsia" w:asciiTheme="minorEastAsia" w:hAnsiTheme="minorEastAsia"/>
            <w:sz w:val="24"/>
            <w:szCs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0354619"/>
    </w:sdtPr>
    <w:sdtEndPr>
      <w:rPr>
        <w:rFonts w:asciiTheme="minorEastAsia" w:hAnsiTheme="minorEastAsia"/>
        <w:sz w:val="24"/>
        <w:szCs w:val="24"/>
      </w:rPr>
    </w:sdtEndPr>
    <w:sdtContent>
      <w:p>
        <w:pPr>
          <w:pStyle w:val="2"/>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w:t>
        </w:r>
        <w:r>
          <w:rPr>
            <w:rFonts w:asciiTheme="minorEastAsia" w:hAnsiTheme="minorEastAsia"/>
            <w:sz w:val="24"/>
            <w:szCs w:val="24"/>
          </w:rPr>
          <w:t xml:space="preserve"> 4 -</w:t>
        </w:r>
        <w:r>
          <w:rPr>
            <w:rFonts w:asciiTheme="minorEastAsia" w:hAnsiTheme="minorEastAsia"/>
            <w:sz w:val="24"/>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4CB39"/>
    <w:multiLevelType w:val="singleLevel"/>
    <w:tmpl w:val="8654CB39"/>
    <w:lvl w:ilvl="0" w:tentative="0">
      <w:start w:val="9"/>
      <w:numFmt w:val="decimal"/>
      <w:lvlText w:val="%1."/>
      <w:lvlJc w:val="left"/>
      <w:pPr>
        <w:tabs>
          <w:tab w:val="left" w:pos="312"/>
        </w:tabs>
      </w:pPr>
    </w:lvl>
  </w:abstractNum>
  <w:abstractNum w:abstractNumId="1">
    <w:nsid w:val="A10649BA"/>
    <w:multiLevelType w:val="singleLevel"/>
    <w:tmpl w:val="A10649BA"/>
    <w:lvl w:ilvl="0" w:tentative="0">
      <w:start w:val="1"/>
      <w:numFmt w:val="decimal"/>
      <w:suff w:val="nothing"/>
      <w:lvlText w:val="（%1）"/>
      <w:lvlJc w:val="left"/>
      <w:pPr>
        <w:ind w:left="210" w:firstLine="0"/>
      </w:pPr>
    </w:lvl>
  </w:abstractNum>
  <w:abstractNum w:abstractNumId="2">
    <w:nsid w:val="022524D8"/>
    <w:multiLevelType w:val="singleLevel"/>
    <w:tmpl w:val="022524D8"/>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mYzdmYTY3NDVjMzQyYzVhN2U3YWE1YTZiZjRhZGUifQ=="/>
  </w:docVars>
  <w:rsids>
    <w:rsidRoot w:val="00000000"/>
    <w:rsid w:val="5CBE3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rPr>
      <w:sz w:val="24"/>
    </w:rPr>
  </w:style>
  <w:style w:type="character" w:styleId="6">
    <w:name w:val="Hyperlink"/>
    <w:basedOn w:val="5"/>
    <w:qFormat/>
    <w:uiPriority w:val="0"/>
    <w:rPr>
      <w:rFonts w:ascii="微软雅黑" w:hAnsi="微软雅黑" w:eastAsia="微软雅黑" w:cs="微软雅黑"/>
      <w:color w:val="02396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1382</Words>
  <Characters>1567</Characters>
  <Lines>0</Lines>
  <Paragraphs>0</Paragraphs>
  <TotalTime>0</TotalTime>
  <ScaleCrop>false</ScaleCrop>
  <LinksUpToDate>false</LinksUpToDate>
  <CharactersWithSpaces>1578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2023-06-26T02:04:04Z</dcterms:created>
  <dc:creator>广林数科</dc:creator>
  <cp:lastModifiedBy>蘭陵笑笑生</cp:lastModifiedBy>
  <dcterms:modified xsi:type="dcterms:W3CDTF">2023-06-26T02:04:13Z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B2110358652B4754AA40BF0CC103E4C8</vt:lpwstr>
  </property>
</Properties>
</file>